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21 217 vom 10. März 2022</w:t>
      </w:r>
    </w:p>
    <w:p>
      <w:r>
        <w:t>VS Kantonsgericht, 2022-03-10, DE</w:t>
      </w:r>
    </w:p>
    <w:p>
      <w:r>
        <w:rPr>
          <w:b/>
        </w:rPr>
        <w:t xml:space="preserve">Quelle: </w:t>
      </w:r>
      <w:r>
        <w:t>https://mcp.opencaselaw.ch/entscheid/vs_gerichte_S1 21 217</w:t>
      </w:r>
    </w:p>
    <w:p>
      <w:r>
        <w:t>FR: VS_GERICHTE S1 21 217 du 10 mars 2022</w:t>
      </w:r>
    </w:p>
    <w:p>
      <w:r>
        <w:t>IT: VS_GERICHTE S1 21 217 del 10 marzo 2022</w:t>
      </w:r>
    </w:p>
    <w:p>
      <w:pPr>
        <w:pStyle w:val="Heading2"/>
      </w:pPr>
      <w:r>
        <w:t>Regeste</w:t>
      </w:r>
    </w:p>
    <w:p>
      <w:r>
        <w:t>S1 21 217 URTEIL VOM 10. MÄRZ 2022 Kantonsgericht Wallis Sozialversicherungsrechtliche Abteilung Besetzung: Dr. Thierry Schnyder, Präsident; Candido Prada und Thomas Brunner, Kantonsrichter; Petra Stoffel, Gerichtsschreiberin in Sachen X _________, Beschwerdeführerin, vertreten durch Rechtsanwalt Nicolas Kuonen, 3930 Visp gegen KANTONALE IV-STELLE, 1950 Sitten, Beschwerdegegnerin und ALLIANZ SUISSE, Rechtsdienst LRD, 8010 Zürich, betroffener Dritter (Validen-/Invalideneinkommen) Beschwerde gegen die Verfügung vom 2. September 2021</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des Bundesgesetzes über den Allgemeinen Teil vom 6. Oktober 2000 [ATSG] sind Verfügungen der kantonalen IV-Stellen direkt vor dem Versicherungsgericht am Ort der IV-Stelle anfechtbar (Art. 69 Abs. 1 des Bundesgesetzes vom 19. Juni 1959 über die Invalidenversicherung [IVG]). In casu ist dies die Sozialversicherungsrechtliche Abteilung des Kantonsgerichts (Art. 7 Abs. 2 des Gesetzes über die Rechtspflege vom 11. Februar 2009 [RPflG] i.V.m. Art. 1 Abs. 2 des Verfahrensreglements vom 2. Oktober 2001 [RVG] und Art. 81a des Gesetzes über das Verwaltungsverfahren und die Verwal- tungsrechtspflege vom 6. Oktober 1976 [VVRG]), die als kantonales Versicherungsge- richt für die Behandlung von Beschwerden auf dem Gebiet des Sozialversicherungs- rechts zuständig ist (vgl. BGE 127 V 176 E. 2). Die Beschwerdeführerin ist als Verfü- 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w:t>
      </w:r>
    </w:p>
    <w:p>
      <w:r>
        <w:t>- 4 - auf den bis zum Zeitpunkt des Erlasses der strittigen Verfügung eingetretenen Sachver- halt abgestellt (vgl. BGE 144 I 81 E. 4.1 S. 86 f.; 132 V 215 E. 3.1.1; Bundesgerichtsurteil 9C_201/2021 vom15. Juni 2021 E. 5.1). Für den hier zu beurteilenden Fall bedeutet dies, dass der Rentenanspruch nach Massgabe der bis zum 31. Dezember 2021 geltenden Gesetzesbestimmungen zu prüfen ist, da der invalidisierende Zustand von der Verwal- tung erstmals am 2. September 2021 beurteilt wurde.</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somit die Frage, ob die Invalidenversicherung den Invalidi- tätsgrad korrekt ermittelt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Vom 1. Januar 2004 bis zum 31. Dezember 2021 besteht bei einem Invaliditäts- grad von mindestens 40 % ein Anspruch auf eine Viertelsrente, bei einem solchen von mindestens 50 % ein Anspruch auf eine halbe Rente, bei mindestens 60 % ein Anspruch auf eine Dreiviertelsrente und bei mindestens 70 % ein solcher auf eine ganze Rente (aArt. 28 IVG).</w:t>
      </w:r>
    </w:p>
    <w:p>
      <w:r>
        <w:rPr>
          <w:b/>
        </w:rPr>
        <w:t>E. 3.2</w:t>
      </w:r>
    </w:p>
    <w:p>
      <w:r>
        <w:t>Für die Bestimmung des Invaliditätsgrades wird das Erwerbseinkommen, das die versicherte Person nach Eintritt der Invalidität und nach Durchführung der medizinischen Behandlung und allfälliger Eingliederungsmassnahmen durch eine ihr zumutbare Tätig- keit bei ausgeglichener Arbeitsmarktlage erzielen könnte (Invalideneinkommen), in Be- ziehung gesetzt zum Erwerbseinkommen, das sie erzielen könnte, wenn sie nicht invalid geworden wäre (Valideneinkommen; Art. 16 ATSG).</w:t>
      </w:r>
    </w:p>
    <w:p>
      <w:r>
        <w:t>- 5 - Für die Ermittlung des Valideneinkommens ist entscheidend, was die versicherte Person im Zeitpunkt des frühestmöglichen Rentenbeginns nach dem Beweisgrad der überwie- genden Wahrscheinlichkeit als Gesunde tatsächlich verdient hätte. Dabei wird in der Re- gel am zuletzt erzielten, nötigenfalls der Teuerung und der realen Einkommensentwick- lung angepassten Verdienst angeknüpft (BGE 144 I 103 E. 5.3 S. 110, 134 V 322 E. 4.1 S. 325; SVR 2017 IV Nr. 52 S. 157 E. 5.1). Für die Festsetzung des Invalideneinkommens ist primär von der beruflich-erwerblichen Situation auszugehen, in welcher die versicherte Person konkret steht (BGE 143 V 295 E. 2.2 S. 296; Urteil des Verwaltungsgerichts des Kantons Bern vom 14. August 2020, IV/20/336, Seite 13).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dabei zu berück- sichtigen, dass gesundheitlich beeinträchtigte Personen, die selbst bei leichten Hilfsar- 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 zelfalles ab (leidensbedingte Einschränkung, Alter, Dienstjahre, Nationalität/Aufent- haltskategorie und Beschäftigungsgrad). Der Einfluss sämtlicher Merkmale auf das In- 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Arbeitsfähigkeit enthaltene ge- sundheitliche Einschränkungen nicht zusätzlich in die Bemessung des leidensbedingten Abzugs einfliessen und so zu einer doppelten Anrechnung desselben Gesichtspunkts führen dürfen (SVR 2018 IV Nr. 45 S. 145 E. 2.2).</w:t>
      </w:r>
    </w:p>
    <w:p>
      <w:r>
        <w:rPr>
          <w:b/>
        </w:rPr>
        <w:t>E. 4.1</w:t>
      </w:r>
    </w:p>
    <w:p>
      <w:r>
        <w:t>Die Beschwerdeführerin macht geltend, im Gesundheitsfall würde sie mit dem Be- weisgrad der überwiegenden Wahrscheinlichkeit als C _________ bei den B _________ tätig sein, wobei dies nicht zwingend der letzte Arbeitgeber hätte sein müs- sen.</w:t>
      </w:r>
    </w:p>
    <w:p>
      <w:r>
        <w:t>- 6 - Die Beschwerdegegnerin ging demgegenüber bei der Festsetzung des Valideneinkom- mens davon aus, die Beschwerdeführerin wäre im Gesundheitsfall mit überwiegender Wahrscheinlichkeit beim E _________ geblieben. Dem ist, wie im Folgenden aufgezeigt, beizupflichten.</w:t>
      </w:r>
    </w:p>
    <w:p>
      <w:r>
        <w:rPr>
          <w:b/>
        </w:rPr>
        <w:t>E. 4.2</w:t>
      </w:r>
    </w:p>
    <w:p>
      <w:r>
        <w:t>Die Beschwerdeführerin begann ihre Ausbildung bei besagtem B _________ und schloss diese dort - trotz zwischenzeitlich eingetretener Erkrankung - im Mai 2018 er- folgreich ab. Selbst danach konnte die Versicherte dort Einsätze leisten, denn zu einer Kündigung war es erst per 31. August 2019 gekommen (S. 147 ff.). Bereits im Ja- nuar 2018 (S. 47) liess der Arbeitgeber die Beschwerdegegnerin wissen, dass die Be- schwerdeführerin nach ihrer Ausbildung in seinem Betrieb weiterarbeiten möchte, was auf entsprechende konkrete Anstellungsgespräche schliessen lässt, die auch im Asses- smentgespräche vom 13. Juni 2018 (S. 117) erwähnt werden. Nach dem erfolgreichen Ausbildungsabschluss wurde die Versicherte auch weiterbeschäftigt, obwohl sie mit ge- sundheitlichen Problemen zu kämpfen hatte. Mithin hätte dies wohl umso mehr im Ge- sundheitsfalle Geltung gehabt. Der Einwand der Beschwerdeführerin, eine Anstellung bei einem anderen B _________ wäre möglich gewesen, trifft zwar zu, ist jedoch nach dem Gesagten nicht überwiegend wahrscheinlich, zumal ein weiterer Arbeitsweg auch mit zusätzlichen Kosten verbunden gewesen wäre und sie ihr privates Umfeld evtl. dafür zusätzlich hätte verändern müssen. In Bezug auf den Validenlohn verkennt die Beschwerdeführerin sodann gänzlich, dass in den Akten nicht nur eine Telefonnotiz, sondern auch eine schriftliche Anfrage (S. 325) bezüglich der Lohnvorstellung beim E _________ eingeholt worden war. Dass die schriftliche Auskunft des Arbeitgebers unkorrekt ist, macht die Beschwerdeführerin zu Recht nicht geltend. Der Einwand der Beschwerdeführerin, es werde in dieser Branche ein Einkommen von CHF 4'800 bis CHF 5'000 erzielt, stimmt sodann mit den Angaben des Arbeitgebers überein, dass sich das Monatssalär auf CHF 4'800 belaufen hätte, weshalb darauf abzustellen ist. In diesem Sinne erübrigen sich auch die von der Be- schwerdeführerin beantragten weiteren Abklärungen oder der Antrag auf Rückweisung, zumal die konkreten Verhältnisse bekannt sind und der zu berücksichtigende Validen- lohn im Rahmen der Gehaltsvorstellungen der Beschwerdeführerin ist. Nach dem Gesagten kann auf die Angaben des letzten Arbeitgebers vom 9. Juli 2021 verwiesen werden. Demnach würde die Beschwerdeführerin ohne Gesundheitsschaden im Jahr 2021 CHF 4’800 pro Monat verdienen. Aufgerechnet auf ein Jahr ergibt dies ein mögliches Erwerbseinkommen von CHF 62’400 (CHF 4’800 x 13). Davon ist im Sinne des Valideneinkommens auszugehen.</w:t>
      </w:r>
    </w:p>
    <w:p>
      <w:r>
        <w:t>- 7 -</w:t>
      </w:r>
    </w:p>
    <w:p>
      <w:r>
        <w:rPr>
          <w:b/>
        </w:rPr>
        <w:t>E. 4.3.1</w:t>
      </w:r>
    </w:p>
    <w:p>
      <w:r>
        <w:t>Hinsichtlich des Invalideneinkommens von CHF 33'236.40 ab dem 1. März 2020 ist festzuhalten, dass die Verwertbarkeit der 60%-igen Restarbeitsfähigkeit in einer an- gepassten Tätigkeit in einem ausgeglichenen Arbeitsmarkt unstrittig ist. Weiter sind keine stichhaltigen Gründe ersichtlich, die gegen die vorinstanzliche Heranziehung des Einkommens für weibliche Hilfskräfte gemäss der LSE-Tabelle TA 1, Niveau 1 sprächen. Für den besagten Zeitraum hat die Beschwerdegegnerin keinen Tabellenabzug mehr vorgenommen und dies nachvollziehbar begründet. Darauf ist zu verweisen. Die Be- schwerdeführerin bemängelt diese Vorgehensweise und beantragt einen zusätzlichen Abzug. Die IV-Stelle legt richtig dar, dass sich gestützt auf die konkreten Umstände allein die Gewährung eines Abzuges vom Tabellenlohn nicht rechtfertigt. Die Rechtsprechung anerkennt unter dem Titel Beschäftigungsgrad lediglich bei Männern, welche aus ge- sundheitlichen Gründen nur noch teilzeitlich erwerbstätig sein können, einen Abzug vom Tabellenlohn nach BGE 126 V 75 (Bundesgerichtsurteil 9C_380/2015 vom 17. Novem- ber 2015 E.3.2.3). Andere Umstände, die die Beschwerdeführerin nennt, führen eben- falls zu keinem anderen Ergebnis. Der RAD-Gutachter berücksichtigte bei der Festset- zung des Belastungsprofils die gelegentlichen Pausen sowie die eingeschränkte Belast- barkeit des linken Arms (S. 291 ff.). Von einer Einarmigkeit bzw. invalidisierenden Müdig- keit ging jedoch weder die behandelnden Ärzte noch der RAD-Gutachter aus. In Anbe- tracht sämtlicher persönlichen und beruflichen Umstände ist daher an der vorinstanzli- chen Ermessenseinschätzung festzuhalten. Ergänzend sei hier noch angefügt, dass selbst bei der Annahme eines zusätzlichen Tabellenabzuges, sich dieser höchstens auf 5% belaufen würde, was jedoch ohne Einfluss auf den Invaliditätsgrad bliebe.</w:t>
      </w:r>
    </w:p>
    <w:p>
      <w:r>
        <w:rPr>
          <w:b/>
        </w:rPr>
        <w:t>E. 4.3.2</w:t>
      </w:r>
    </w:p>
    <w:p>
      <w:r>
        <w:t>Hinsichtlich der Invaliditätsberechnung ab dem 1. April 2021 ist zu berücksichtigen, dass wenn das Invalideneinkommen nicht aufgrund von Tabellenlöhnen ermittelt wird, kein leidensbedingter Abzug vom Invalideneinkommen angezeigt ist (Entscheid des Ver- sicherungsgerichts des Kantons St. Gallen vom 25. Januar 2007, IV 2006/44). Die IV- Stelle hat in ihrer Verfügung für diesen Zeitraum auf das effektiv erzielte Einkommen bei der F _________ AG im Umfang von CHF 40'560 (13 x CHF 3’120) pro Jahr abgestellt. Wie jedoch die Beschwerdeführerin richtig darlegt, war dieses Arbeitsverhältnis befristet (vom 1. April bis zum 31. Dezember 2021; S. 376). Dass der Beschwerdeführerin dort auch eine Festanstellung in Aussicht gestellt worden war – wie dies die Beschwerde- gegnerin darlegte – ist aktenmässig nicht belegt. Zwar wurde von der Kontaktperson des Arbeitsmarkprogrammes OPRA am 24. Februar 2021 die Option auf Verlängerung er-</w:t>
      </w:r>
    </w:p>
    <w:p>
      <w:r>
        <w:t>- 8 - wähnt (S. 269), jedoch wurde anlässlich der konkreten Vertragsverhandlungen eine sol- che gerade nicht in den Vertrag aufgenommen. Ausserdem zeigen die Akten auf, dass der Arbeitgeber anfänglich lediglich eine Anstellung für den Monat Februar und März 2021 anstrebte (S. 267) und damit es überhaupt zu einer Anstellung kam, der Arbeits- platzkoordinator um Hilfe gebeten werden musste. Mithin konnte nicht von stabilen und dauernden Verhältnissen gesprochen werden. Wenn sich sodann die IV-Stelle auf die Formulierung im Kreisschreiben KSIH Ziff. 3053 beruft, verkennt sie, dass auch hier von einem dauernd erzielten Einkommen die Rede ist, was bei einer befristeten Anstellung nicht der Fall ist. Wie KSIH Ziff. 3055 ausserdem treffend festhält, kann ein Einkommen, das der Versicherte bei einer vorübergehenden Tätigkeit erzielt, auch wenn es einer zu- mutbaren Leistung entspricht, nicht angerechnet werden. Ferner blieb gänzlich unberücksichtigt, dass sich die Verhältnisse bis zum Erlass der strittigen Verfügung vom 2. September 2021 (S. 339 ff.) abermals verändert hatten. Per 1. September 2021 konnte die Beschwerdeführerin bei einem neuen Arbeitgeber eine Festanstellung antreten, weshalb wohl eher dieser effektive Lohn zu berücksichtigen ge- wesen wäre (vgl. S. 383; 13 x Festlohn CHF 2’580). Dies kann jedoch offenbleiben, denn auch unter Einbezug der LSE-Tabellenlöhne würde bei einem Invaliditätsgrad von 47% lediglich ein Anspruch auf eine Viertelsrente begründet werden (vgl. E. 4.3.1). Bei der Berücksichtigung des letzten effektiven Lohnes würde sodann ein Invaliditätsgrad von 46.25% (Erwerbseinbusse von CHF 28’860 x 100/CHF 62’400) resultieren. Mithin wird jeweils ein Viertelsrentenanspruch begründet.</w:t>
      </w:r>
    </w:p>
    <w:p>
      <w:r>
        <w:rPr>
          <w:b/>
        </w:rPr>
        <w:t>E. 4.4</w:t>
      </w:r>
    </w:p>
    <w:p>
      <w:r>
        <w:t>Zusammenfassend ist die Beschwerde in dem Sinne gutzuheissen, als dass die Beschwerdeführerin ab dem 1. April 2021 einen Anspruch auf eine Viertelsrente hat. In diesem Punkt ist die Verfügung vom 2. September 2021 aufzuheben.</w:t>
      </w:r>
    </w:p>
    <w:p>
      <w:r>
        <w:rPr>
          <w:b/>
        </w:rPr>
        <w:t>E. 5.1</w:t>
      </w:r>
    </w:p>
    <w:p>
      <w:r>
        <w:t>Das Beschwerdeverfahren bei Streitigkeiten um die Bewilligung oder die Verweige- rung von IV-Leistungen vor dem Kantonsgericht ist kostenpflichtig (Art. 69 Abs. 1bis IVG).</w:t>
      </w:r>
    </w:p>
    <w:p>
      <w:r>
        <w:t>- 9 - Aufgrund des Verfahrensaufwandes (reiner Urkundenprozess) werden die Kosten auf CHF 500 festgesetzt. Auslagen sind dem Gericht keine entstanden. Entsprechend dem Ausgang des Verfahrens werden die Kosten der IV-Stelle auferlegt.</w:t>
      </w:r>
    </w:p>
    <w:p>
      <w:r>
        <w:rPr>
          <w:b/>
        </w:rPr>
        <w:t>E. 5.2</w:t>
      </w:r>
    </w:p>
    <w:p>
      <w:r>
        <w:t>Die obsiegende Beschwerde führende Partei hat Anspruch auf einen angemesse- nen Ersatz ihrer Parteikosten. Die Beschwerdeführerin obsiegt mit ihren Begehren nur teilweise, weshalb sie Anspruch auf eine reduzierte Parteientschädigung hat. Dem Aus- gang des Verfahrens entsprechend hat die IV-Stelle der Beschwerdeführerin eine Par- teientschädigung in der Höhe von CHF 800 (inkl. Auslagen und Mehrwertsteuer) zu be- zahlen (Art. 4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